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1828D">
      <w:pPr>
        <w:pStyle w:val="2"/>
        <w:shd w:val="clear" w:color="auto" w:fill="FFFFFF"/>
        <w:spacing w:before="0" w:after="0"/>
        <w:rPr>
          <w:rFonts w:hint="default" w:ascii="Cambria" w:hAnsi="Cambria" w:cs="Cambria"/>
          <w:color w:val="1F4E79" w:themeColor="accent1" w:themeShade="80"/>
          <w:sz w:val="28"/>
          <w:szCs w:val="28"/>
        </w:rPr>
      </w:pPr>
      <w:r>
        <w:rPr>
          <w:rFonts w:hint="default" w:ascii="Cambria" w:hAnsi="Cambria" w:cs="Cambria"/>
          <w:color w:val="1F4E79" w:themeColor="accent1" w:themeShade="80"/>
          <w:sz w:val="28"/>
          <w:szCs w:val="28"/>
        </w:rPr>
        <w:t xml:space="preserve">ПОЛИНАЛИВ ЦЕМЕНТ– полиуретанцементное покрытие </w:t>
      </w:r>
    </w:p>
    <w:p w14:paraId="1C107228">
      <w:pPr>
        <w:spacing w:line="276" w:lineRule="auto"/>
        <w:rPr>
          <w:rFonts w:hint="default" w:ascii="Cambria" w:hAnsi="Cambria" w:cs="Cambria"/>
          <w:sz w:val="28"/>
          <w:szCs w:val="28"/>
        </w:rPr>
      </w:pPr>
    </w:p>
    <w:p w14:paraId="23F49D61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Cs/>
        </w:rPr>
        <w:t>• высокая стойкость к истиранию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высокая износостойкость и ударопрочность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высокая химическая стойкость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  <w:bCs/>
        </w:rPr>
        <w:t>• долговечность и увеличение срока службы поверхности</w:t>
      </w:r>
      <w:r>
        <w:rPr>
          <w:rFonts w:hint="default" w:ascii="Cambria" w:hAnsi="Cambria" w:cs="Cambria"/>
          <w:bCs/>
        </w:rPr>
        <w:br w:type="textWrapping"/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 xml:space="preserve">Полиуретанцементные покрытия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>ПОЛИНАЛИВ ЦЕМЕНТ</w:t>
      </w:r>
      <w:r>
        <w:rPr>
          <w:rFonts w:hint="default" w:ascii="Cambria" w:hAnsi="Cambria" w:cs="Cambria"/>
          <w:color w:val="1F4E79" w:themeColor="accent1" w:themeShade="80"/>
        </w:rPr>
        <w:t xml:space="preserve"> </w:t>
      </w:r>
      <w:r>
        <w:rPr>
          <w:rFonts w:hint="default" w:ascii="Cambria" w:hAnsi="Cambria" w:cs="Cambria"/>
        </w:rPr>
        <w:t xml:space="preserve">сочетают в себе преимущества, как цемента, так и полимера. В отличие от полимерных полов,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>ПОЛИНАЛИВ ЦЕМЕНТ</w:t>
      </w:r>
      <w:r>
        <w:rPr>
          <w:rFonts w:hint="default" w:ascii="Cambria" w:hAnsi="Cambria" w:cs="Cambria"/>
        </w:rPr>
        <w:t xml:space="preserve"> практически не имеют усадки. Поэтому изготовление этих полов очень актуально там, где нельзя изготовить новую бетонную стяжку.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ПОЛИНАЛИВ ЦЕМЕНТ</w:t>
      </w:r>
      <w:r>
        <w:rPr>
          <w:rFonts w:hint="default" w:ascii="Cambria" w:hAnsi="Cambria" w:cs="Cambria"/>
        </w:rPr>
        <w:t xml:space="preserve"> состоит из полуфабриката – водного полиола с целевыми добавками, отвердителя и специальной сухой смеси.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По сравнению с чисто цементными бетонами полами полиуретанцементные полы обладают большей прочностью на растяжение, меньшей хрупкостью, лучшей деформируемостью, высокой ударной вязкостью и беспыльностью полимеров. У них более высокая водонепроницаемость, морозостойкость, сопротивление истиранию, стойкость к действию агрессивных жидкостей и газов.</w:t>
      </w:r>
      <w:r>
        <w:rPr>
          <w:rFonts w:hint="default" w:ascii="Cambria" w:hAnsi="Cambria" w:cs="Cambria"/>
          <w:lang w:val="ru-RU"/>
        </w:rPr>
        <w:t xml:space="preserve"> </w:t>
      </w:r>
      <w:r>
        <w:rPr>
          <w:rFonts w:hint="default" w:ascii="Cambria" w:hAnsi="Cambria" w:cs="Cambria"/>
        </w:rPr>
        <w:t>Срок службы не менее 12 лет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Основные области применения </w:t>
      </w:r>
      <w:r>
        <w:rPr>
          <w:rFonts w:hint="default" w:ascii="Cambria" w:hAnsi="Cambria" w:cs="Cambria"/>
          <w:color w:val="1F4E79" w:themeColor="accent1" w:themeShade="80"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ПОЛИНАЛИВ ЦЕМЕНТ</w:t>
      </w:r>
      <w:r>
        <w:rPr>
          <w:rFonts w:hint="default" w:ascii="Cambria" w:hAnsi="Cambria" w:cs="Cambria"/>
        </w:rPr>
        <w:t xml:space="preserve"> может использоваться как самостоятельное покрытие в условиях с повышенными требованиями к химической, масло- и бензостойкости, а также в качестве противоскользящего покрытия (остановки общественного транспорта, пешеходные переходы, маршевые лестницы  и т.п.) и выравнивающего покрытия перед нанесением полимерных наливных полов.</w:t>
      </w:r>
      <w:r>
        <w:rPr>
          <w:rFonts w:hint="default" w:ascii="Cambria" w:hAnsi="Cambria" w:cs="Cambria"/>
          <w:lang w:val="ru-RU"/>
        </w:rPr>
        <w:t xml:space="preserve"> </w:t>
      </w:r>
      <w:r>
        <w:rPr>
          <w:rFonts w:hint="default" w:ascii="Cambria" w:hAnsi="Cambria" w:cs="Cambria"/>
        </w:rPr>
        <w:t>Покрытие выдерживает многократную обработку острым паром и является экологически чистым - может применяться в пожаро-взрывоопасных местах, в местах скопления людей. подходит при контакте с питьевой водой.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ПОЛИНАЛИВ ЦЕМЕНТ</w:t>
      </w:r>
      <w:r>
        <w:rPr>
          <w:rFonts w:hint="default" w:ascii="Cambria" w:hAnsi="Cambria" w:cs="Cambria"/>
          <w:color w:val="1F4E79" w:themeColor="accent1" w:themeShade="80"/>
        </w:rPr>
        <w:t xml:space="preserve"> </w:t>
      </w:r>
      <w:r>
        <w:rPr>
          <w:rFonts w:hint="default" w:ascii="Cambria" w:hAnsi="Cambria" w:cs="Cambria"/>
        </w:rPr>
        <w:t>применяется для помещений с высокими механическими нагрузками, в том числе со специальными требованиями:</w:t>
      </w:r>
    </w:p>
    <w:p w14:paraId="28EC6D22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• складов, ангаров, холодильников, морозильников.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цехов (любых отраслей промышленности).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многоэтажных парковок, гаражных комплексов, автосервисов, автомастерских и т.д.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торговых, выставочных, спортивных залов; жилых, общественных, административных зданий.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объектов С/Х назначения: птицефермы, инкубаторы, коровники, свинарники и т.п.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• резервуаров, технических бассейнов, отстойников, очистных сооружений.</w:t>
      </w:r>
    </w:p>
    <w:p w14:paraId="2D526473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Подготовка основания к нанесению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 xml:space="preserve">Наносится на свежеуложенный (14 суток, влажность 15%) и старый бетон. Основание перед нанесением состава должно быть чистым, без замасленных и загрязненных участков, не должно содержать на поверхности цементного (известкового) молочка и старых покрытий, для этого производится шлифовка бетона мозаичной машиной для удаления загрязнений и открытия пор бетона. 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ОБЯЗАТЕЛЬНО!!! В бетоне должны быть прорезаны с помощью штробореза деформационные швы на расстоянии 10-20 см. от стен и колон.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Основание тщательно обеспылено промышленным пылесосом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 xml:space="preserve">Перед применением полиуретанцементного пола, для старых стяжек, необходимо загрунтовать основание Грунтами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>ПОЛИГРУНТ</w:t>
      </w:r>
      <w:r>
        <w:rPr>
          <w:rFonts w:hint="default" w:ascii="Cambria" w:hAnsi="Cambria" w:cs="Cambria"/>
          <w:b/>
          <w:bCs/>
        </w:rPr>
        <w:t xml:space="preserve"> </w:t>
      </w:r>
      <w:r>
        <w:rPr>
          <w:rFonts w:hint="default" w:ascii="Cambria" w:hAnsi="Cambria" w:cs="Cambria"/>
        </w:rPr>
        <w:t>в зависимости от влажности и прочности основания. Время сушки грунта зависит от технических характеристик грунта.</w:t>
      </w:r>
    </w:p>
    <w:p w14:paraId="324712C4">
      <w:pPr>
        <w:spacing w:line="276" w:lineRule="auto"/>
        <w:rPr>
          <w:rFonts w:hint="default" w:ascii="Cambria" w:hAnsi="Cambria" w:cs="Cambria"/>
          <w:b/>
          <w:bCs/>
        </w:rPr>
      </w:pPr>
      <w:r>
        <w:rPr>
          <w:rFonts w:hint="default" w:ascii="Cambria" w:hAnsi="Cambria" w:cs="Cambria"/>
        </w:rPr>
        <w:t>При работе в зимний период и в неотапливаемых помещениях необходимо использовать воздушный промышленный обогреватель для нагрева компонентов и помещения до комнатной температуры.</w:t>
      </w:r>
      <w:r>
        <w:rPr>
          <w:rFonts w:hint="default" w:ascii="Cambria" w:hAnsi="Cambria" w:cs="Cambria"/>
        </w:rPr>
        <w:br w:type="textWrapping"/>
      </w:r>
    </w:p>
    <w:p w14:paraId="0829DA5F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Подготовка состава к нанесению</w:t>
      </w:r>
      <w:r>
        <w:rPr>
          <w:rFonts w:hint="default" w:ascii="Cambria" w:hAnsi="Cambria" w:cs="Cambria"/>
          <w:color w:val="1F4E79" w:themeColor="accent1" w:themeShade="80"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ПОЛИНАЛИВ ЦЕМЕНТ</w:t>
      </w:r>
      <w:r>
        <w:rPr>
          <w:rFonts w:hint="default" w:ascii="Cambria" w:hAnsi="Cambria" w:cs="Cambria"/>
        </w:rPr>
        <w:t xml:space="preserve"> производится в виде трех компонентов – А, Б и В, соотношение компонентов по массе 2,56:2,96:14,48.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Компонент А (цветная жидкость 2,56 кг), слегка перемешивают для выравнивания цвета. Далее всыпают компонент В (сухая смесь 14,48 кг). Тщательно смешивают полученную смесь с помощью низкооборотистой дрели, оптимально с двух венчиковой насадкой, до получения однородной массы и полного смачивания сухой смеси. В ту же емкость полностью вливают Компонент Б (отвердитель 2,96 кг) и окончательно перемешивают композицию до однородной массы, уделяя особое внимание стенкам и дну тары для полного смешения всех компонентов.</w:t>
      </w:r>
    </w:p>
    <w:p w14:paraId="77F4C276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После перемешивания компонентов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>незамедлительно</w:t>
      </w:r>
      <w:r>
        <w:rPr>
          <w:rFonts w:hint="default" w:ascii="Cambria" w:hAnsi="Cambria" w:cs="Cambria"/>
        </w:rPr>
        <w:t xml:space="preserve"> приступить к работе.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Время жизнеспособности композиции не менее 15 минут. При более высоких температурах жизнеспособность состава уменьшается.</w:t>
      </w:r>
    </w:p>
    <w:p w14:paraId="1A7D70AC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color w:val="1F4E79" w:themeColor="accent1" w:themeShade="80"/>
        </w:rPr>
        <w:t>Важно!</w:t>
      </w:r>
      <w:r>
        <w:rPr>
          <w:rFonts w:hint="default" w:ascii="Cambria" w:hAnsi="Cambria" w:cs="Cambria"/>
          <w:b/>
        </w:rPr>
        <w:t xml:space="preserve"> </w:t>
      </w:r>
      <w:r>
        <w:rPr>
          <w:rFonts w:hint="default" w:ascii="Cambria" w:hAnsi="Cambria" w:cs="Cambria"/>
        </w:rPr>
        <w:t>Состав не разбавлять!</w:t>
      </w:r>
    </w:p>
    <w:p w14:paraId="643B19AA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color w:val="1F4E79" w:themeColor="accent1" w:themeShade="80"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Способ применения</w:t>
      </w:r>
      <w:r>
        <w:rPr>
          <w:rFonts w:hint="default" w:ascii="Cambria" w:hAnsi="Cambria" w:cs="Cambria"/>
          <w:bCs/>
          <w:color w:val="1F4E79" w:themeColor="accent1" w:themeShade="80"/>
        </w:rPr>
        <w:br w:type="textWrapping"/>
      </w:r>
      <w:r>
        <w:rPr>
          <w:rFonts w:hint="default" w:ascii="Cambria" w:hAnsi="Cambria" w:cs="Cambria"/>
          <w:b w:val="0"/>
          <w:bCs w:val="0"/>
        </w:rPr>
        <w:t xml:space="preserve">Сразу </w:t>
      </w:r>
      <w:r>
        <w:rPr>
          <w:rFonts w:hint="default" w:ascii="Cambria" w:hAnsi="Cambria" w:cs="Cambria"/>
          <w:bCs/>
        </w:rPr>
        <w:t>после смешения всех компонентов, полученный состав равномерно распределить по загрунтованной поверхности. Наносить методом растягивания смеси, использовать ракель (2,5мм, для получения толщины 2мм рекомендуется выставлять зазор на 0,1-0,3мм выше, для обеспечения более гладкого распределения состава) или зубчатый шпатель, прилагая усилия для распределения состава по поверхности. Для затирки и выглаживания поверхности используют плоский шпатель или применяют систему формовки полимерцемента еще свежего состава, а также шлифовку металлической тёркой или «вертолётом» после просыпки цементом при необходимости выравнивания готового покрытия.</w:t>
      </w:r>
    </w:p>
    <w:p w14:paraId="57731081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t xml:space="preserve">Формовка – выглаживание поверхности полимерцементного пола осуществляется путем раскатывания уже уложенного состава до получения ровной поверхности. Ориентировочно через 1,5-2,5 часа после укладки </w:t>
      </w:r>
      <w:r>
        <w:rPr>
          <w:rFonts w:hint="default" w:ascii="Cambria" w:hAnsi="Cambria" w:cs="Cambria"/>
          <w:b/>
          <w:bCs w:val="0"/>
          <w:color w:val="1F4E79" w:themeColor="accent1" w:themeShade="80"/>
        </w:rPr>
        <w:t>ПОЛИНАЛИВ ЦЕМЕНТА</w:t>
      </w:r>
      <w:r>
        <w:rPr>
          <w:rFonts w:hint="default" w:ascii="Cambria" w:hAnsi="Cambria" w:cs="Cambria"/>
          <w:bCs/>
        </w:rPr>
        <w:t xml:space="preserve"> поверхность слегка присыпают белым цементом М500ДО и утрамбовывают состав прокатывая гладким резиновым валиком, для передвижения по свежеуложенному составу использую широкие плоскоступы. Время начала работ определяется индивидуально – состав не должен липнуть и прилипать к плоскоступам после просыпки цементом, в то же время он должен оставаться пластичным. После высыхания излишки цемента удаляют, этот цемент можно использовать повторно на других участках.</w:t>
      </w:r>
    </w:p>
    <w:p w14:paraId="107A36C7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t>Проведение работ следует осуществлять при температуре основания и воздуха от +5° до +25°С и влажности не более 80%. Температура материала: от +15° до +20°С.</w:t>
      </w:r>
    </w:p>
    <w:p w14:paraId="151464AD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t>Толщина покрытия за одно нанесение составляет 2-7мм.</w:t>
      </w:r>
    </w:p>
    <w:p w14:paraId="735D7270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t>Послойная сушка 24 ч, в зависимости от температуры и влажности до нанесения следующего слоя.</w:t>
      </w:r>
    </w:p>
    <w:p w14:paraId="489F80D6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t>При необходимости финишной декоративной отделки пола другими полимерными материалы, допускается нанесение составов после полного высыхания полимерцементного пола, не ранее 24 часов при температуре +20°С.</w:t>
      </w:r>
    </w:p>
    <w:p w14:paraId="1FA28800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t>После окончания работ инструмент очистить водой и промыть ацетоном. Затвердевший материал убирается только механическим путем.</w:t>
      </w:r>
    </w:p>
    <w:p w14:paraId="467B140D">
      <w:pPr>
        <w:spacing w:line="276" w:lineRule="auto"/>
        <w:rPr>
          <w:rFonts w:hint="default" w:ascii="Cambria" w:hAnsi="Cambria" w:cs="Cambria"/>
          <w:bCs/>
        </w:rPr>
      </w:pPr>
      <w:r>
        <w:rPr>
          <w:rFonts w:hint="default" w:ascii="Cambria" w:hAnsi="Cambria" w:cs="Cambria"/>
          <w:bCs/>
        </w:rPr>
        <w:t>Температура эксплуатации от –40°С до +120°С.</w:t>
      </w:r>
    </w:p>
    <w:p w14:paraId="7C0118FA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Cs/>
        </w:rPr>
        <w:t>После нанесения последнего финишного слоя: через 24 часа – пешеходная нагрузка, через 5 суток – полная механическая нагрузка на основание, через 7 суток – химическая нагрузка.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br w:type="textWrapping"/>
      </w:r>
    </w:p>
    <w:p w14:paraId="476753B7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Расход</w:t>
      </w:r>
      <w:r>
        <w:rPr>
          <w:rFonts w:hint="default" w:ascii="Cambria" w:hAnsi="Cambria" w:cs="Cambria"/>
          <w:color w:val="1F4E79" w:themeColor="accent1" w:themeShade="80"/>
        </w:rPr>
        <w:br w:type="textWrapping"/>
      </w:r>
      <w:r>
        <w:rPr>
          <w:rFonts w:hint="default" w:ascii="Cambria" w:hAnsi="Cambria" w:cs="Cambria"/>
        </w:rPr>
        <w:t>2 кг/м</w:t>
      </w:r>
      <w:r>
        <w:rPr>
          <w:rFonts w:hint="default" w:ascii="Cambria" w:hAnsi="Cambria" w:cs="Cambria"/>
          <w:vertAlign w:val="superscript"/>
        </w:rPr>
        <w:t>2</w:t>
      </w:r>
      <w:r>
        <w:rPr>
          <w:rFonts w:hint="default" w:ascii="Cambria" w:hAnsi="Cambria" w:cs="Cambria"/>
        </w:rPr>
        <w:t xml:space="preserve"> при толщине покрытия 1мм. Рекомендуемая минимальная толщина 4мм. </w:t>
      </w:r>
      <w:r>
        <w:rPr>
          <w:rFonts w:hint="default" w:ascii="Cambria" w:hAnsi="Cambria" w:cs="Cambria"/>
        </w:rPr>
        <w:br w:type="textWrapping"/>
      </w:r>
    </w:p>
    <w:p w14:paraId="721E2E11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Тара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 xml:space="preserve">Купить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>ПОЛИНАЛИВ ЦЕМЕНТ</w:t>
      </w:r>
      <w:r>
        <w:rPr>
          <w:rFonts w:hint="default" w:ascii="Cambria" w:hAnsi="Cambria" w:cs="Cambria"/>
        </w:rPr>
        <w:t xml:space="preserve"> можно в ведрах по 20 кг. (соотношение 2,56:2,96:14,48)</w:t>
      </w:r>
    </w:p>
    <w:p w14:paraId="4D736E94">
      <w:pPr>
        <w:spacing w:line="276" w:lineRule="auto"/>
        <w:rPr>
          <w:rFonts w:hint="default" w:ascii="Cambria" w:hAnsi="Cambria" w:cs="Cambria"/>
        </w:rPr>
      </w:pPr>
    </w:p>
    <w:p w14:paraId="26A4A768">
      <w:pPr>
        <w:spacing w:line="276" w:lineRule="auto"/>
        <w:rPr>
          <w:rFonts w:hint="default" w:ascii="Cambria" w:hAnsi="Cambria" w:cs="Cambria"/>
          <w:b/>
          <w:bCs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Цвет</w:t>
      </w:r>
    </w:p>
    <w:p w14:paraId="11871EC7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Колеруется по каталогу </w:t>
      </w:r>
      <w:r>
        <w:rPr>
          <w:rFonts w:hint="default" w:ascii="Cambria" w:hAnsi="Cambria" w:cs="Cambria"/>
          <w:lang w:val="en-US"/>
        </w:rPr>
        <w:t>RAL</w:t>
      </w:r>
      <w:r>
        <w:rPr>
          <w:rFonts w:hint="default" w:ascii="Cambria" w:hAnsi="Cambria" w:cs="Cambria"/>
        </w:rPr>
        <w:t xml:space="preserve"> с оттенением в сторону сухой смеси.</w:t>
      </w:r>
    </w:p>
    <w:p w14:paraId="7C9092D7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Меры предосторожности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При проведении внутренних работ, а также после их окончания тщательно проветрить помещение.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Использовать индивидуальные средства защиты, очки и резиновые перчатки.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  <w:b/>
          <w:bCs/>
          <w:color w:val="1F4E79" w:themeColor="accent1" w:themeShade="80"/>
        </w:rPr>
        <w:t>Хранение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Состав хранить в прочно закрытой таре, предохраняя от действия тепла и прямых солнечных лучей. Не нагревать. Беречь от огня.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Хранить и транспортировать при температуре от +5°С до +30°С.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Допускается кратковременная перевозка при температуре до -5°С с последующим помещением всех компонентов для хранения в теплое помещение.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>Гарантийный срок хранения – 6 месяцев со дня изготовления.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br w:type="textWrapping"/>
      </w:r>
      <w:bookmarkStart w:id="0" w:name="_GoBack"/>
      <w:r>
        <w:rPr>
          <w:rFonts w:hint="default" w:ascii="Cambria" w:hAnsi="Cambria" w:cs="Cambria"/>
          <w:b/>
          <w:bCs/>
          <w:color w:val="1F4E79" w:themeColor="accent1" w:themeShade="80"/>
        </w:rPr>
        <w:t>Технические данные</w:t>
      </w:r>
      <w:r>
        <w:rPr>
          <w:rFonts w:hint="default" w:ascii="Cambria" w:hAnsi="Cambria" w:cs="Cambria"/>
          <w:color w:val="1F4E79" w:themeColor="accent1" w:themeShade="80"/>
        </w:rPr>
        <w:t> </w:t>
      </w:r>
      <w:r>
        <w:rPr>
          <w:rFonts w:hint="default" w:ascii="Cambria" w:hAnsi="Cambria" w:cs="Cambria"/>
          <w:color w:val="1F4E79" w:themeColor="accent1" w:themeShade="80"/>
        </w:rPr>
        <w:br w:type="textWrapping"/>
      </w:r>
      <w:bookmarkEnd w:id="0"/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55"/>
        <w:gridCol w:w="2684"/>
      </w:tblGrid>
      <w:tr w14:paraId="32FA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55" w:type="dxa"/>
            <w:shd w:val="clear" w:color="auto" w:fill="FFFFFF"/>
            <w:vAlign w:val="center"/>
          </w:tcPr>
          <w:p w14:paraId="73963981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Плотность при температуре (20,0±0,5) °С, г/см³</w:t>
            </w:r>
          </w:p>
        </w:tc>
        <w:tc>
          <w:tcPr>
            <w:tcW w:w="2684" w:type="dxa"/>
            <w:shd w:val="clear" w:color="auto" w:fill="FFFFFF"/>
            <w:vAlign w:val="center"/>
          </w:tcPr>
          <w:p w14:paraId="757524CA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1,8</w:t>
            </w:r>
          </w:p>
        </w:tc>
      </w:tr>
      <w:tr w14:paraId="49CC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55" w:type="dxa"/>
            <w:shd w:val="clear" w:color="auto" w:fill="FFFFFF"/>
            <w:vAlign w:val="center"/>
          </w:tcPr>
          <w:p w14:paraId="1A24647B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Время высыхания до степени 3 при температуре (20,0±0,5) °С, ч.</w:t>
            </w:r>
          </w:p>
        </w:tc>
        <w:tc>
          <w:tcPr>
            <w:tcW w:w="2684" w:type="dxa"/>
            <w:shd w:val="clear" w:color="auto" w:fill="FFFFFF"/>
            <w:vAlign w:val="center"/>
          </w:tcPr>
          <w:p w14:paraId="24C123C4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не более 24</w:t>
            </w:r>
          </w:p>
        </w:tc>
      </w:tr>
      <w:tr w14:paraId="4A2C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55" w:type="dxa"/>
            <w:shd w:val="clear" w:color="auto" w:fill="FFFFFF"/>
            <w:vAlign w:val="center"/>
          </w:tcPr>
          <w:p w14:paraId="3F841800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Интервал рабочих температур в воздушной среде, °С</w:t>
            </w:r>
          </w:p>
        </w:tc>
        <w:tc>
          <w:tcPr>
            <w:tcW w:w="2684" w:type="dxa"/>
            <w:shd w:val="clear" w:color="auto" w:fill="FFFFFF"/>
            <w:vAlign w:val="center"/>
          </w:tcPr>
          <w:p w14:paraId="5CB3FF5A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от -40°С до +120°С</w:t>
            </w:r>
          </w:p>
        </w:tc>
      </w:tr>
      <w:tr w14:paraId="4CEE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55" w:type="dxa"/>
            <w:shd w:val="clear" w:color="auto" w:fill="FFFFFF"/>
            <w:vAlign w:val="center"/>
          </w:tcPr>
          <w:p w14:paraId="5F34495C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Водопоглощение пленки, %</w:t>
            </w:r>
          </w:p>
        </w:tc>
        <w:tc>
          <w:tcPr>
            <w:tcW w:w="2684" w:type="dxa"/>
            <w:shd w:val="clear" w:color="auto" w:fill="FFFFFF"/>
            <w:vAlign w:val="center"/>
          </w:tcPr>
          <w:p w14:paraId="6DE3AF6B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не более 0,12</w:t>
            </w:r>
          </w:p>
        </w:tc>
      </w:tr>
      <w:tr w14:paraId="5700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55" w:type="dxa"/>
            <w:shd w:val="clear" w:color="auto" w:fill="FFFFFF"/>
            <w:vAlign w:val="center"/>
          </w:tcPr>
          <w:p w14:paraId="24E33653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Адгезия к бетону, МПа</w:t>
            </w:r>
          </w:p>
        </w:tc>
        <w:tc>
          <w:tcPr>
            <w:tcW w:w="2684" w:type="dxa"/>
            <w:shd w:val="clear" w:color="auto" w:fill="FFFFFF"/>
            <w:vAlign w:val="center"/>
          </w:tcPr>
          <w:p w14:paraId="7EBD2D23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рвется бетон</w:t>
            </w:r>
          </w:p>
        </w:tc>
      </w:tr>
      <w:tr w14:paraId="5140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55" w:type="dxa"/>
            <w:shd w:val="clear" w:color="auto" w:fill="FFFFFF"/>
            <w:vAlign w:val="center"/>
          </w:tcPr>
          <w:p w14:paraId="6656AA1D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Прочность на сжатие, 28 дней, МПа</w:t>
            </w:r>
          </w:p>
        </w:tc>
        <w:tc>
          <w:tcPr>
            <w:tcW w:w="2684" w:type="dxa"/>
            <w:shd w:val="clear" w:color="auto" w:fill="FFFFFF"/>
            <w:vAlign w:val="center"/>
          </w:tcPr>
          <w:p w14:paraId="4169DCC9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не менее 60</w:t>
            </w:r>
          </w:p>
        </w:tc>
      </w:tr>
      <w:tr w14:paraId="29BD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55" w:type="dxa"/>
            <w:shd w:val="clear" w:color="auto" w:fill="FFFFFF"/>
            <w:vAlign w:val="center"/>
          </w:tcPr>
          <w:p w14:paraId="207D34BB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Истираемость, г/м</w:t>
            </w:r>
            <w:r>
              <w:rPr>
                <w:rFonts w:hint="default" w:ascii="Cambria" w:hAnsi="Cambria" w:cs="Cambria"/>
                <w:vertAlign w:val="superscript"/>
              </w:rPr>
              <w:t>2</w:t>
            </w:r>
          </w:p>
        </w:tc>
        <w:tc>
          <w:tcPr>
            <w:tcW w:w="2684" w:type="dxa"/>
            <w:shd w:val="clear" w:color="auto" w:fill="FFFFFF"/>
            <w:vAlign w:val="center"/>
          </w:tcPr>
          <w:p w14:paraId="03094FC5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не более 0,2</w:t>
            </w:r>
          </w:p>
        </w:tc>
      </w:tr>
      <w:tr w14:paraId="6AA1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55" w:type="dxa"/>
            <w:shd w:val="clear" w:color="auto" w:fill="FFFFFF"/>
            <w:vAlign w:val="center"/>
          </w:tcPr>
          <w:p w14:paraId="1976DAD7">
            <w:pPr>
              <w:spacing w:line="276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Прочность на изгиб, 28 дней, МПа</w:t>
            </w:r>
          </w:p>
        </w:tc>
        <w:tc>
          <w:tcPr>
            <w:tcW w:w="2684" w:type="dxa"/>
            <w:shd w:val="clear" w:color="auto" w:fill="FFFFFF"/>
            <w:vAlign w:val="center"/>
          </w:tcPr>
          <w:p w14:paraId="177405B3">
            <w:pPr>
              <w:spacing w:line="276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не менее 14</w:t>
            </w:r>
          </w:p>
        </w:tc>
      </w:tr>
    </w:tbl>
    <w:p w14:paraId="63B64342">
      <w:pPr>
        <w:spacing w:line="276" w:lineRule="auto"/>
        <w:rPr>
          <w:rFonts w:hint="default" w:ascii="Cambria" w:hAnsi="Cambria" w:cs="Cambria"/>
          <w:iCs/>
        </w:rPr>
      </w:pP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  <w:i/>
          <w:iCs/>
        </w:rPr>
        <w:t>ТУ 20.30.22-001-18862682-2018</w:t>
      </w:r>
    </w:p>
    <w:p w14:paraId="48414738">
      <w:pPr>
        <w:spacing w:line="276" w:lineRule="auto"/>
        <w:rPr>
          <w:rFonts w:hint="default" w:ascii="Cambria" w:hAnsi="Cambria" w:cs="Cambria"/>
          <w:i/>
        </w:rPr>
      </w:pPr>
    </w:p>
    <w:sectPr>
      <w:headerReference r:id="rId4" w:type="first"/>
      <w:headerReference r:id="rId3" w:type="even"/>
      <w:footerReference r:id="rId5" w:type="even"/>
      <w:pgSz w:w="11906" w:h="16838"/>
      <w:pgMar w:top="437" w:right="493" w:bottom="493" w:left="437" w:header="0" w:footer="2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4FC38">
    <w:pPr>
      <w:pStyle w:val="73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009BB647">
    <w:pPr>
      <w:pStyle w:val="7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4B759">
    <w:pPr>
      <w:pStyle w:val="42"/>
    </w:pPr>
    <w:r>
      <w:pict>
        <v:shape id="WordPictureWatermark2" o:spid="_x0000_s4098" o:spt="75" type="#_x0000_t75" style="position:absolute;left:0pt;height:500.45pt;width:495.9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EFBD6">
    <w:pPr>
      <w:pStyle w:val="42"/>
    </w:pPr>
    <w:r>
      <w:pict>
        <v:shape id="WordPictureWatermark1" o:spid="_x0000_s4097" o:spt="75" type="#_x0000_t75" style="position:absolute;left:0pt;height:500.45pt;width:495.9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21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0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64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1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7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0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80"/>
    <w:rsid w:val="00033487"/>
    <w:rsid w:val="00041BC8"/>
    <w:rsid w:val="0005692A"/>
    <w:rsid w:val="00063572"/>
    <w:rsid w:val="000765A0"/>
    <w:rsid w:val="00081550"/>
    <w:rsid w:val="000839CC"/>
    <w:rsid w:val="00094785"/>
    <w:rsid w:val="0009637B"/>
    <w:rsid w:val="000A448C"/>
    <w:rsid w:val="000A58CE"/>
    <w:rsid w:val="000B4E74"/>
    <w:rsid w:val="000C292A"/>
    <w:rsid w:val="000C3840"/>
    <w:rsid w:val="000D203D"/>
    <w:rsid w:val="000D42B1"/>
    <w:rsid w:val="000D698C"/>
    <w:rsid w:val="000E2A41"/>
    <w:rsid w:val="000F6E6C"/>
    <w:rsid w:val="00106C08"/>
    <w:rsid w:val="00120871"/>
    <w:rsid w:val="00136643"/>
    <w:rsid w:val="001519B0"/>
    <w:rsid w:val="001539DC"/>
    <w:rsid w:val="00157C68"/>
    <w:rsid w:val="0018626B"/>
    <w:rsid w:val="001874BA"/>
    <w:rsid w:val="00193672"/>
    <w:rsid w:val="001A4A55"/>
    <w:rsid w:val="001B2CF3"/>
    <w:rsid w:val="001B70E3"/>
    <w:rsid w:val="001C7EE6"/>
    <w:rsid w:val="001D29BF"/>
    <w:rsid w:val="001D602D"/>
    <w:rsid w:val="001F2DA2"/>
    <w:rsid w:val="001F5E56"/>
    <w:rsid w:val="002008B1"/>
    <w:rsid w:val="00202BE5"/>
    <w:rsid w:val="00203DEC"/>
    <w:rsid w:val="00204638"/>
    <w:rsid w:val="0020688F"/>
    <w:rsid w:val="0021766F"/>
    <w:rsid w:val="00226576"/>
    <w:rsid w:val="00232387"/>
    <w:rsid w:val="00235CF9"/>
    <w:rsid w:val="00235E75"/>
    <w:rsid w:val="002502FF"/>
    <w:rsid w:val="00255D86"/>
    <w:rsid w:val="00256843"/>
    <w:rsid w:val="00260BFD"/>
    <w:rsid w:val="00264382"/>
    <w:rsid w:val="0028556B"/>
    <w:rsid w:val="002A5FDC"/>
    <w:rsid w:val="002B3D80"/>
    <w:rsid w:val="002C1603"/>
    <w:rsid w:val="002C2294"/>
    <w:rsid w:val="002C5BBD"/>
    <w:rsid w:val="002C7989"/>
    <w:rsid w:val="002D45BB"/>
    <w:rsid w:val="002F3820"/>
    <w:rsid w:val="002F5884"/>
    <w:rsid w:val="00301795"/>
    <w:rsid w:val="003050BE"/>
    <w:rsid w:val="00313DA8"/>
    <w:rsid w:val="00316071"/>
    <w:rsid w:val="00321C1C"/>
    <w:rsid w:val="00325044"/>
    <w:rsid w:val="00332A71"/>
    <w:rsid w:val="00345749"/>
    <w:rsid w:val="00362F40"/>
    <w:rsid w:val="00365D51"/>
    <w:rsid w:val="003663A2"/>
    <w:rsid w:val="00384A83"/>
    <w:rsid w:val="003A2AB2"/>
    <w:rsid w:val="003B7A22"/>
    <w:rsid w:val="003C12BF"/>
    <w:rsid w:val="003C3F4E"/>
    <w:rsid w:val="003D2808"/>
    <w:rsid w:val="003E24B5"/>
    <w:rsid w:val="00401576"/>
    <w:rsid w:val="00404C10"/>
    <w:rsid w:val="00406FAF"/>
    <w:rsid w:val="004144F4"/>
    <w:rsid w:val="004170D3"/>
    <w:rsid w:val="00417FC3"/>
    <w:rsid w:val="004235A1"/>
    <w:rsid w:val="00430708"/>
    <w:rsid w:val="00431EF6"/>
    <w:rsid w:val="00432EFE"/>
    <w:rsid w:val="004450C8"/>
    <w:rsid w:val="0046293B"/>
    <w:rsid w:val="004751BA"/>
    <w:rsid w:val="00484FB1"/>
    <w:rsid w:val="004871DB"/>
    <w:rsid w:val="00492626"/>
    <w:rsid w:val="004D3E09"/>
    <w:rsid w:val="004F0063"/>
    <w:rsid w:val="004F0E27"/>
    <w:rsid w:val="004F3F86"/>
    <w:rsid w:val="004F7669"/>
    <w:rsid w:val="004F791F"/>
    <w:rsid w:val="00522581"/>
    <w:rsid w:val="005234D1"/>
    <w:rsid w:val="00526789"/>
    <w:rsid w:val="00531714"/>
    <w:rsid w:val="005330DE"/>
    <w:rsid w:val="00546AFD"/>
    <w:rsid w:val="005531C2"/>
    <w:rsid w:val="00574E19"/>
    <w:rsid w:val="005804D9"/>
    <w:rsid w:val="005828D7"/>
    <w:rsid w:val="005D144A"/>
    <w:rsid w:val="005D3649"/>
    <w:rsid w:val="005D48BB"/>
    <w:rsid w:val="005D6584"/>
    <w:rsid w:val="005E2F81"/>
    <w:rsid w:val="005F728C"/>
    <w:rsid w:val="00601107"/>
    <w:rsid w:val="00603B98"/>
    <w:rsid w:val="006052B6"/>
    <w:rsid w:val="00605D31"/>
    <w:rsid w:val="00607A5D"/>
    <w:rsid w:val="00610AB0"/>
    <w:rsid w:val="00611E75"/>
    <w:rsid w:val="00616E02"/>
    <w:rsid w:val="00621878"/>
    <w:rsid w:val="00621C71"/>
    <w:rsid w:val="0063431A"/>
    <w:rsid w:val="00642364"/>
    <w:rsid w:val="00642620"/>
    <w:rsid w:val="00642C21"/>
    <w:rsid w:val="00644113"/>
    <w:rsid w:val="00667539"/>
    <w:rsid w:val="006902F2"/>
    <w:rsid w:val="00691633"/>
    <w:rsid w:val="006A3A2B"/>
    <w:rsid w:val="006A5C62"/>
    <w:rsid w:val="006B6B5D"/>
    <w:rsid w:val="006C36FA"/>
    <w:rsid w:val="006D5CE9"/>
    <w:rsid w:val="006D7C86"/>
    <w:rsid w:val="006E4341"/>
    <w:rsid w:val="006E6329"/>
    <w:rsid w:val="006F0855"/>
    <w:rsid w:val="006F6DF0"/>
    <w:rsid w:val="0070721D"/>
    <w:rsid w:val="00707C20"/>
    <w:rsid w:val="00710378"/>
    <w:rsid w:val="00710DBF"/>
    <w:rsid w:val="00711495"/>
    <w:rsid w:val="00712962"/>
    <w:rsid w:val="007141C0"/>
    <w:rsid w:val="00716B14"/>
    <w:rsid w:val="007205E6"/>
    <w:rsid w:val="00722D91"/>
    <w:rsid w:val="00733E68"/>
    <w:rsid w:val="00746791"/>
    <w:rsid w:val="0074779A"/>
    <w:rsid w:val="00750AE3"/>
    <w:rsid w:val="00754C67"/>
    <w:rsid w:val="0075611A"/>
    <w:rsid w:val="007638E4"/>
    <w:rsid w:val="007722EC"/>
    <w:rsid w:val="007802A6"/>
    <w:rsid w:val="00784FD6"/>
    <w:rsid w:val="007852EB"/>
    <w:rsid w:val="007901AE"/>
    <w:rsid w:val="007957CE"/>
    <w:rsid w:val="00797793"/>
    <w:rsid w:val="007C11F7"/>
    <w:rsid w:val="007D3BA2"/>
    <w:rsid w:val="007D7524"/>
    <w:rsid w:val="007E69E0"/>
    <w:rsid w:val="007F09D9"/>
    <w:rsid w:val="007F2789"/>
    <w:rsid w:val="00822EB3"/>
    <w:rsid w:val="00823969"/>
    <w:rsid w:val="00823FC2"/>
    <w:rsid w:val="00834B78"/>
    <w:rsid w:val="008455CC"/>
    <w:rsid w:val="00845724"/>
    <w:rsid w:val="0084669A"/>
    <w:rsid w:val="00851968"/>
    <w:rsid w:val="00855B78"/>
    <w:rsid w:val="00872DEE"/>
    <w:rsid w:val="00874B22"/>
    <w:rsid w:val="00877FD7"/>
    <w:rsid w:val="0088152E"/>
    <w:rsid w:val="008869F8"/>
    <w:rsid w:val="008920BF"/>
    <w:rsid w:val="008936CC"/>
    <w:rsid w:val="00894B1B"/>
    <w:rsid w:val="008A205B"/>
    <w:rsid w:val="008A26D8"/>
    <w:rsid w:val="008B2F97"/>
    <w:rsid w:val="008B34C6"/>
    <w:rsid w:val="008B3533"/>
    <w:rsid w:val="008C1E5E"/>
    <w:rsid w:val="008C7F97"/>
    <w:rsid w:val="008E0BD8"/>
    <w:rsid w:val="008E154F"/>
    <w:rsid w:val="008E186F"/>
    <w:rsid w:val="008E3A66"/>
    <w:rsid w:val="008E4BA6"/>
    <w:rsid w:val="00903D80"/>
    <w:rsid w:val="00906B12"/>
    <w:rsid w:val="00915A5F"/>
    <w:rsid w:val="00923A51"/>
    <w:rsid w:val="00932F36"/>
    <w:rsid w:val="0093515A"/>
    <w:rsid w:val="00936667"/>
    <w:rsid w:val="00947B5F"/>
    <w:rsid w:val="00950A1C"/>
    <w:rsid w:val="0096260A"/>
    <w:rsid w:val="009631D3"/>
    <w:rsid w:val="009667F9"/>
    <w:rsid w:val="00977450"/>
    <w:rsid w:val="00982C27"/>
    <w:rsid w:val="0098715B"/>
    <w:rsid w:val="009872FB"/>
    <w:rsid w:val="009944CA"/>
    <w:rsid w:val="009A122E"/>
    <w:rsid w:val="009B7886"/>
    <w:rsid w:val="009C2A72"/>
    <w:rsid w:val="009C3265"/>
    <w:rsid w:val="009C4B3E"/>
    <w:rsid w:val="009D560B"/>
    <w:rsid w:val="009D7096"/>
    <w:rsid w:val="009F26D6"/>
    <w:rsid w:val="00A019B4"/>
    <w:rsid w:val="00A13404"/>
    <w:rsid w:val="00A15D82"/>
    <w:rsid w:val="00A31E6A"/>
    <w:rsid w:val="00A3566B"/>
    <w:rsid w:val="00A52E64"/>
    <w:rsid w:val="00A664A3"/>
    <w:rsid w:val="00A67031"/>
    <w:rsid w:val="00A7157D"/>
    <w:rsid w:val="00A71FF9"/>
    <w:rsid w:val="00A765FA"/>
    <w:rsid w:val="00A913A5"/>
    <w:rsid w:val="00A9251D"/>
    <w:rsid w:val="00AA466E"/>
    <w:rsid w:val="00AA7D94"/>
    <w:rsid w:val="00AB12DB"/>
    <w:rsid w:val="00AB4D61"/>
    <w:rsid w:val="00AC0D74"/>
    <w:rsid w:val="00AC67F2"/>
    <w:rsid w:val="00AC7D39"/>
    <w:rsid w:val="00AC7F41"/>
    <w:rsid w:val="00AF467E"/>
    <w:rsid w:val="00B02E04"/>
    <w:rsid w:val="00B04929"/>
    <w:rsid w:val="00B253C1"/>
    <w:rsid w:val="00B301EB"/>
    <w:rsid w:val="00B364FB"/>
    <w:rsid w:val="00B65401"/>
    <w:rsid w:val="00B66A9C"/>
    <w:rsid w:val="00B737BC"/>
    <w:rsid w:val="00B81BCD"/>
    <w:rsid w:val="00B91FEB"/>
    <w:rsid w:val="00B936D2"/>
    <w:rsid w:val="00BA05C2"/>
    <w:rsid w:val="00BA2975"/>
    <w:rsid w:val="00BB38E3"/>
    <w:rsid w:val="00BB4085"/>
    <w:rsid w:val="00BB72FC"/>
    <w:rsid w:val="00BD5A30"/>
    <w:rsid w:val="00BD6C7F"/>
    <w:rsid w:val="00BE29D9"/>
    <w:rsid w:val="00BF1F1F"/>
    <w:rsid w:val="00C005C3"/>
    <w:rsid w:val="00C05C9B"/>
    <w:rsid w:val="00C2676A"/>
    <w:rsid w:val="00C3315F"/>
    <w:rsid w:val="00C353AA"/>
    <w:rsid w:val="00C369C2"/>
    <w:rsid w:val="00C43768"/>
    <w:rsid w:val="00C43E40"/>
    <w:rsid w:val="00C46272"/>
    <w:rsid w:val="00C52E3E"/>
    <w:rsid w:val="00C5433F"/>
    <w:rsid w:val="00C61D10"/>
    <w:rsid w:val="00C63091"/>
    <w:rsid w:val="00C642B0"/>
    <w:rsid w:val="00C65049"/>
    <w:rsid w:val="00C72DC1"/>
    <w:rsid w:val="00C77ADA"/>
    <w:rsid w:val="00C834C7"/>
    <w:rsid w:val="00C862B7"/>
    <w:rsid w:val="00C911EC"/>
    <w:rsid w:val="00CA0DC3"/>
    <w:rsid w:val="00CC3E67"/>
    <w:rsid w:val="00CC400C"/>
    <w:rsid w:val="00CC4A11"/>
    <w:rsid w:val="00CC577A"/>
    <w:rsid w:val="00CE14C2"/>
    <w:rsid w:val="00CE15B2"/>
    <w:rsid w:val="00CE47D8"/>
    <w:rsid w:val="00CF62D5"/>
    <w:rsid w:val="00D01F86"/>
    <w:rsid w:val="00D02133"/>
    <w:rsid w:val="00D05B3A"/>
    <w:rsid w:val="00D11935"/>
    <w:rsid w:val="00D121FF"/>
    <w:rsid w:val="00D14F21"/>
    <w:rsid w:val="00D22A7C"/>
    <w:rsid w:val="00D350E0"/>
    <w:rsid w:val="00D3543B"/>
    <w:rsid w:val="00D42BF6"/>
    <w:rsid w:val="00D75E8C"/>
    <w:rsid w:val="00D8258F"/>
    <w:rsid w:val="00D94CA3"/>
    <w:rsid w:val="00DA11B3"/>
    <w:rsid w:val="00DA1585"/>
    <w:rsid w:val="00DA42A0"/>
    <w:rsid w:val="00DA7290"/>
    <w:rsid w:val="00DB2C22"/>
    <w:rsid w:val="00DC6F01"/>
    <w:rsid w:val="00DD1ED7"/>
    <w:rsid w:val="00DD411D"/>
    <w:rsid w:val="00DD52FD"/>
    <w:rsid w:val="00DD65FD"/>
    <w:rsid w:val="00DD762D"/>
    <w:rsid w:val="00DE6DBD"/>
    <w:rsid w:val="00DF2FE1"/>
    <w:rsid w:val="00DF5023"/>
    <w:rsid w:val="00DF5089"/>
    <w:rsid w:val="00E000EC"/>
    <w:rsid w:val="00E04286"/>
    <w:rsid w:val="00E05B72"/>
    <w:rsid w:val="00E05D2C"/>
    <w:rsid w:val="00E10587"/>
    <w:rsid w:val="00E1159D"/>
    <w:rsid w:val="00E30B31"/>
    <w:rsid w:val="00E40BB6"/>
    <w:rsid w:val="00E43E08"/>
    <w:rsid w:val="00E56CBF"/>
    <w:rsid w:val="00E73852"/>
    <w:rsid w:val="00E77674"/>
    <w:rsid w:val="00E8299B"/>
    <w:rsid w:val="00EA09FB"/>
    <w:rsid w:val="00EA2DF6"/>
    <w:rsid w:val="00EA460C"/>
    <w:rsid w:val="00EB1BC2"/>
    <w:rsid w:val="00EB4DD8"/>
    <w:rsid w:val="00EC59AB"/>
    <w:rsid w:val="00ED127B"/>
    <w:rsid w:val="00ED285F"/>
    <w:rsid w:val="00ED3974"/>
    <w:rsid w:val="00ED4662"/>
    <w:rsid w:val="00EF35E1"/>
    <w:rsid w:val="00F05CCE"/>
    <w:rsid w:val="00F06725"/>
    <w:rsid w:val="00F10B84"/>
    <w:rsid w:val="00F12E15"/>
    <w:rsid w:val="00F37E24"/>
    <w:rsid w:val="00F434F9"/>
    <w:rsid w:val="00F53B68"/>
    <w:rsid w:val="00F574FB"/>
    <w:rsid w:val="00F57E48"/>
    <w:rsid w:val="00F61EE5"/>
    <w:rsid w:val="00F7415C"/>
    <w:rsid w:val="00F7432B"/>
    <w:rsid w:val="00F74AA9"/>
    <w:rsid w:val="00F81810"/>
    <w:rsid w:val="00F9019B"/>
    <w:rsid w:val="00F933B1"/>
    <w:rsid w:val="00FA0B37"/>
    <w:rsid w:val="00FA49ED"/>
    <w:rsid w:val="00FA5582"/>
    <w:rsid w:val="00FA79B7"/>
    <w:rsid w:val="00FB5530"/>
    <w:rsid w:val="00FD7C5E"/>
    <w:rsid w:val="00FE1102"/>
    <w:rsid w:val="00FE1236"/>
    <w:rsid w:val="00FF0EFA"/>
    <w:rsid w:val="423946DE"/>
    <w:rsid w:val="4525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page number"/>
    <w:basedOn w:val="11"/>
    <w:qFormat/>
    <w:uiPriority w:val="0"/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8">
    <w:name w:val="List 5"/>
    <w:basedOn w:val="1"/>
    <w:qFormat/>
    <w:uiPriority w:val="0"/>
    <w:pPr>
      <w:ind w:left="1415" w:hanging="283"/>
    </w:pPr>
  </w:style>
  <w:style w:type="paragraph" w:styleId="19">
    <w:name w:val="List Continue"/>
    <w:basedOn w:val="1"/>
    <w:qFormat/>
    <w:uiPriority w:val="0"/>
    <w:pPr>
      <w:spacing w:after="120"/>
      <w:ind w:left="283"/>
    </w:pPr>
  </w:style>
  <w:style w:type="paragraph" w:styleId="20">
    <w:name w:val="Body Text 2"/>
    <w:basedOn w:val="1"/>
    <w:qFormat/>
    <w:uiPriority w:val="0"/>
    <w:pPr>
      <w:spacing w:after="120" w:line="480" w:lineRule="auto"/>
    </w:pPr>
  </w:style>
  <w:style w:type="paragraph" w:styleId="21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22">
    <w:name w:val="Closing"/>
    <w:basedOn w:val="1"/>
    <w:qFormat/>
    <w:uiPriority w:val="0"/>
    <w:pPr>
      <w:ind w:left="4252"/>
    </w:pPr>
  </w:style>
  <w:style w:type="paragraph" w:styleId="23">
    <w:name w:val="Normal Indent"/>
    <w:basedOn w:val="1"/>
    <w:qFormat/>
    <w:uiPriority w:val="0"/>
    <w:pPr>
      <w:ind w:left="708"/>
    </w:pPr>
  </w:style>
  <w:style w:type="paragraph" w:styleId="24">
    <w:name w:val="envelope return"/>
    <w:basedOn w:val="1"/>
    <w:qFormat/>
    <w:uiPriority w:val="0"/>
    <w:rPr>
      <w:rFonts w:ascii="Arial" w:hAnsi="Arial" w:cs="Arial"/>
      <w:sz w:val="20"/>
      <w:szCs w:val="20"/>
    </w:rPr>
  </w:style>
  <w:style w:type="paragraph" w:styleId="25">
    <w:name w:val="Plain Text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26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7">
    <w:name w:val="endnote text"/>
    <w:basedOn w:val="1"/>
    <w:semiHidden/>
    <w:qFormat/>
    <w:uiPriority w:val="0"/>
    <w:rPr>
      <w:sz w:val="20"/>
      <w:szCs w:val="20"/>
    </w:rPr>
  </w:style>
  <w:style w:type="paragraph" w:styleId="28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9">
    <w:name w:val="annotation text"/>
    <w:basedOn w:val="1"/>
    <w:semiHidden/>
    <w:qFormat/>
    <w:uiPriority w:val="0"/>
    <w:rPr>
      <w:sz w:val="20"/>
      <w:szCs w:val="20"/>
    </w:rPr>
  </w:style>
  <w:style w:type="paragraph" w:styleId="30">
    <w:name w:val="index 1"/>
    <w:basedOn w:val="1"/>
    <w:next w:val="1"/>
    <w:autoRedefine/>
    <w:semiHidden/>
    <w:qFormat/>
    <w:uiPriority w:val="0"/>
    <w:pPr>
      <w:ind w:left="240" w:hanging="240"/>
    </w:pPr>
  </w:style>
  <w:style w:type="paragraph" w:styleId="31">
    <w:name w:val="annotation subject"/>
    <w:basedOn w:val="29"/>
    <w:next w:val="29"/>
    <w:semiHidden/>
    <w:qFormat/>
    <w:uiPriority w:val="0"/>
    <w:rPr>
      <w:b/>
      <w:bCs/>
    </w:rPr>
  </w:style>
  <w:style w:type="paragraph" w:styleId="32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3">
    <w:name w:val="footnote text"/>
    <w:basedOn w:val="1"/>
    <w:semiHidden/>
    <w:qFormat/>
    <w:uiPriority w:val="0"/>
    <w:rPr>
      <w:sz w:val="20"/>
      <w:szCs w:val="20"/>
    </w:rPr>
  </w:style>
  <w:style w:type="paragraph" w:styleId="34">
    <w:name w:val="toc 8"/>
    <w:basedOn w:val="1"/>
    <w:next w:val="1"/>
    <w:autoRedefine/>
    <w:semiHidden/>
    <w:qFormat/>
    <w:uiPriority w:val="0"/>
    <w:pPr>
      <w:ind w:left="1680"/>
    </w:pPr>
  </w:style>
  <w:style w:type="paragraph" w:styleId="35">
    <w:name w:val="index 2"/>
    <w:basedOn w:val="1"/>
    <w:next w:val="1"/>
    <w:autoRedefine/>
    <w:semiHidden/>
    <w:qFormat/>
    <w:uiPriority w:val="0"/>
    <w:pPr>
      <w:ind w:left="480" w:hanging="240"/>
    </w:pPr>
  </w:style>
  <w:style w:type="paragraph" w:styleId="36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37">
    <w:name w:val="HTML Address"/>
    <w:basedOn w:val="1"/>
    <w:qFormat/>
    <w:uiPriority w:val="0"/>
    <w:rPr>
      <w:i/>
      <w:iCs/>
    </w:rPr>
  </w:style>
  <w:style w:type="paragraph" w:styleId="38">
    <w:name w:val="index 7"/>
    <w:basedOn w:val="1"/>
    <w:next w:val="1"/>
    <w:autoRedefine/>
    <w:semiHidden/>
    <w:qFormat/>
    <w:uiPriority w:val="0"/>
    <w:pPr>
      <w:ind w:left="1680" w:hanging="240"/>
    </w:pPr>
  </w:style>
  <w:style w:type="paragraph" w:styleId="39">
    <w:name w:val="index 3"/>
    <w:basedOn w:val="1"/>
    <w:next w:val="1"/>
    <w:autoRedefine/>
    <w:semiHidden/>
    <w:qFormat/>
    <w:uiPriority w:val="0"/>
    <w:pPr>
      <w:ind w:left="720" w:hanging="240"/>
    </w:pPr>
  </w:style>
  <w:style w:type="paragraph" w:styleId="40">
    <w:name w:val="index 5"/>
    <w:basedOn w:val="1"/>
    <w:next w:val="1"/>
    <w:autoRedefine/>
    <w:semiHidden/>
    <w:qFormat/>
    <w:uiPriority w:val="0"/>
    <w:pPr>
      <w:ind w:left="1200" w:hanging="240"/>
    </w:pPr>
  </w:style>
  <w:style w:type="paragraph" w:styleId="41">
    <w:name w:val="index 4"/>
    <w:basedOn w:val="1"/>
    <w:next w:val="1"/>
    <w:autoRedefine/>
    <w:semiHidden/>
    <w:qFormat/>
    <w:uiPriority w:val="0"/>
    <w:pPr>
      <w:ind w:left="960" w:hanging="240"/>
    </w:pPr>
  </w:style>
  <w:style w:type="paragraph" w:styleId="4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43">
    <w:name w:val="toc 9"/>
    <w:basedOn w:val="1"/>
    <w:next w:val="1"/>
    <w:autoRedefine/>
    <w:semiHidden/>
    <w:qFormat/>
    <w:uiPriority w:val="0"/>
    <w:pPr>
      <w:ind w:left="1920"/>
    </w:pPr>
  </w:style>
  <w:style w:type="paragraph" w:styleId="44">
    <w:name w:val="toc 7"/>
    <w:basedOn w:val="1"/>
    <w:next w:val="1"/>
    <w:autoRedefine/>
    <w:semiHidden/>
    <w:qFormat/>
    <w:uiPriority w:val="0"/>
    <w:pPr>
      <w:ind w:left="1440"/>
    </w:pPr>
  </w:style>
  <w:style w:type="paragraph" w:styleId="45">
    <w:name w:val="index 6"/>
    <w:basedOn w:val="1"/>
    <w:next w:val="1"/>
    <w:autoRedefine/>
    <w:semiHidden/>
    <w:qFormat/>
    <w:uiPriority w:val="0"/>
    <w:pPr>
      <w:ind w:left="1440" w:hanging="240"/>
    </w:pPr>
  </w:style>
  <w:style w:type="paragraph" w:styleId="4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Arial" w:hAnsi="Arial" w:cs="Arial"/>
    </w:rPr>
  </w:style>
  <w:style w:type="paragraph" w:styleId="47">
    <w:name w:val="index 8"/>
    <w:basedOn w:val="1"/>
    <w:next w:val="1"/>
    <w:autoRedefine/>
    <w:semiHidden/>
    <w:qFormat/>
    <w:uiPriority w:val="0"/>
    <w:pPr>
      <w:ind w:left="1920" w:hanging="240"/>
    </w:pPr>
  </w:style>
  <w:style w:type="paragraph" w:styleId="48">
    <w:name w:val="Body Text"/>
    <w:basedOn w:val="1"/>
    <w:qFormat/>
    <w:uiPriority w:val="0"/>
    <w:pPr>
      <w:spacing w:after="120"/>
    </w:pPr>
  </w:style>
  <w:style w:type="paragraph" w:styleId="49">
    <w:name w:val="index 9"/>
    <w:basedOn w:val="1"/>
    <w:next w:val="1"/>
    <w:autoRedefine/>
    <w:semiHidden/>
    <w:qFormat/>
    <w:uiPriority w:val="0"/>
    <w:pPr>
      <w:ind w:left="2160" w:hanging="240"/>
    </w:pPr>
  </w:style>
  <w:style w:type="paragraph" w:styleId="50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51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b/>
      <w:bCs/>
    </w:rPr>
  </w:style>
  <w:style w:type="paragraph" w:styleId="52">
    <w:name w:val="index heading"/>
    <w:basedOn w:val="1"/>
    <w:next w:val="30"/>
    <w:semiHidden/>
    <w:qFormat/>
    <w:uiPriority w:val="0"/>
    <w:rPr>
      <w:rFonts w:ascii="Arial" w:hAnsi="Arial" w:cs="Arial"/>
      <w:b/>
      <w:bCs/>
    </w:rPr>
  </w:style>
  <w:style w:type="paragraph" w:styleId="53">
    <w:name w:val="toc 1"/>
    <w:basedOn w:val="1"/>
    <w:next w:val="1"/>
    <w:autoRedefine/>
    <w:semiHidden/>
    <w:qFormat/>
    <w:uiPriority w:val="0"/>
  </w:style>
  <w:style w:type="paragraph" w:styleId="54">
    <w:name w:val="table of authorities"/>
    <w:basedOn w:val="1"/>
    <w:next w:val="1"/>
    <w:semiHidden/>
    <w:qFormat/>
    <w:uiPriority w:val="0"/>
    <w:pPr>
      <w:ind w:left="240" w:hanging="240"/>
    </w:pPr>
  </w:style>
  <w:style w:type="paragraph" w:styleId="55">
    <w:name w:val="macro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="Times New Roman" w:cs="Courier New"/>
      <w:lang w:val="ru-RU" w:eastAsia="ru-RU" w:bidi="ar-SA"/>
    </w:rPr>
  </w:style>
  <w:style w:type="paragraph" w:styleId="56">
    <w:name w:val="toc 6"/>
    <w:basedOn w:val="1"/>
    <w:next w:val="1"/>
    <w:autoRedefine/>
    <w:semiHidden/>
    <w:qFormat/>
    <w:uiPriority w:val="0"/>
    <w:pPr>
      <w:ind w:left="1200"/>
    </w:pPr>
  </w:style>
  <w:style w:type="paragraph" w:styleId="57">
    <w:name w:val="table of figures"/>
    <w:basedOn w:val="1"/>
    <w:next w:val="1"/>
    <w:semiHidden/>
    <w:qFormat/>
    <w:uiPriority w:val="0"/>
  </w:style>
  <w:style w:type="paragraph" w:styleId="58">
    <w:name w:val="toc 3"/>
    <w:basedOn w:val="1"/>
    <w:next w:val="1"/>
    <w:autoRedefine/>
    <w:semiHidden/>
    <w:qFormat/>
    <w:uiPriority w:val="0"/>
    <w:pPr>
      <w:ind w:left="480"/>
    </w:pPr>
  </w:style>
  <w:style w:type="paragraph" w:styleId="59">
    <w:name w:val="toc 2"/>
    <w:basedOn w:val="1"/>
    <w:next w:val="1"/>
    <w:autoRedefine/>
    <w:semiHidden/>
    <w:qFormat/>
    <w:uiPriority w:val="0"/>
    <w:pPr>
      <w:ind w:left="240"/>
    </w:pPr>
  </w:style>
  <w:style w:type="paragraph" w:styleId="60">
    <w:name w:val="toc 4"/>
    <w:basedOn w:val="1"/>
    <w:next w:val="1"/>
    <w:autoRedefine/>
    <w:semiHidden/>
    <w:qFormat/>
    <w:uiPriority w:val="0"/>
    <w:pPr>
      <w:ind w:left="720"/>
    </w:pPr>
  </w:style>
  <w:style w:type="paragraph" w:styleId="61">
    <w:name w:val="toc 5"/>
    <w:basedOn w:val="1"/>
    <w:next w:val="1"/>
    <w:autoRedefine/>
    <w:semiHidden/>
    <w:qFormat/>
    <w:uiPriority w:val="0"/>
    <w:pPr>
      <w:ind w:left="960"/>
    </w:pPr>
  </w:style>
  <w:style w:type="paragraph" w:styleId="62">
    <w:name w:val="Note Heading"/>
    <w:basedOn w:val="1"/>
    <w:next w:val="1"/>
    <w:qFormat/>
    <w:uiPriority w:val="0"/>
  </w:style>
  <w:style w:type="paragraph" w:styleId="63">
    <w:name w:val="Date"/>
    <w:basedOn w:val="1"/>
    <w:next w:val="1"/>
    <w:qFormat/>
    <w:uiPriority w:val="0"/>
  </w:style>
  <w:style w:type="paragraph" w:styleId="64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65">
    <w:name w:val="Body Text First Indent"/>
    <w:basedOn w:val="48"/>
    <w:qFormat/>
    <w:uiPriority w:val="0"/>
    <w:pPr>
      <w:ind w:firstLine="210"/>
    </w:pPr>
  </w:style>
  <w:style w:type="paragraph" w:styleId="66">
    <w:name w:val="Body Text First Indent 2"/>
    <w:basedOn w:val="67"/>
    <w:qFormat/>
    <w:uiPriority w:val="0"/>
    <w:pPr>
      <w:ind w:firstLine="210"/>
    </w:pPr>
  </w:style>
  <w:style w:type="paragraph" w:styleId="67">
    <w:name w:val="Body Text Indent"/>
    <w:basedOn w:val="1"/>
    <w:qFormat/>
    <w:uiPriority w:val="0"/>
    <w:pPr>
      <w:spacing w:after="120"/>
      <w:ind w:left="283"/>
    </w:pPr>
  </w:style>
  <w:style w:type="paragraph" w:styleId="68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69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7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71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7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73">
    <w:name w:val="footer"/>
    <w:basedOn w:val="1"/>
    <w:link w:val="100"/>
    <w:qFormat/>
    <w:uiPriority w:val="99"/>
    <w:pPr>
      <w:tabs>
        <w:tab w:val="center" w:pos="4677"/>
        <w:tab w:val="right" w:pos="9355"/>
      </w:tabs>
    </w:pPr>
  </w:style>
  <w:style w:type="paragraph" w:styleId="74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75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76">
    <w:name w:val="List"/>
    <w:basedOn w:val="1"/>
    <w:qFormat/>
    <w:uiPriority w:val="0"/>
    <w:pPr>
      <w:ind w:left="283" w:hanging="283"/>
    </w:pPr>
  </w:style>
  <w:style w:type="paragraph" w:styleId="77">
    <w:name w:val="Normal (Web)"/>
    <w:basedOn w:val="1"/>
    <w:qFormat/>
    <w:uiPriority w:val="99"/>
  </w:style>
  <w:style w:type="paragraph" w:styleId="7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9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80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</w:rPr>
  </w:style>
  <w:style w:type="paragraph" w:styleId="81">
    <w:name w:val="Signature"/>
    <w:basedOn w:val="1"/>
    <w:qFormat/>
    <w:uiPriority w:val="0"/>
    <w:pPr>
      <w:ind w:left="4252"/>
    </w:pPr>
  </w:style>
  <w:style w:type="paragraph" w:styleId="82">
    <w:name w:val="Salutation"/>
    <w:basedOn w:val="1"/>
    <w:next w:val="1"/>
    <w:qFormat/>
    <w:uiPriority w:val="0"/>
  </w:style>
  <w:style w:type="paragraph" w:styleId="83">
    <w:name w:val="List Continue 2"/>
    <w:basedOn w:val="1"/>
    <w:qFormat/>
    <w:uiPriority w:val="0"/>
    <w:pPr>
      <w:spacing w:after="120"/>
      <w:ind w:left="566"/>
    </w:pPr>
  </w:style>
  <w:style w:type="paragraph" w:styleId="84">
    <w:name w:val="List Continue 3"/>
    <w:basedOn w:val="1"/>
    <w:qFormat/>
    <w:uiPriority w:val="0"/>
    <w:pPr>
      <w:spacing w:after="120"/>
      <w:ind w:left="849"/>
    </w:pPr>
  </w:style>
  <w:style w:type="paragraph" w:styleId="85">
    <w:name w:val="List Continue 4"/>
    <w:basedOn w:val="1"/>
    <w:qFormat/>
    <w:uiPriority w:val="0"/>
    <w:pPr>
      <w:spacing w:after="120"/>
      <w:ind w:left="1132"/>
    </w:pPr>
  </w:style>
  <w:style w:type="paragraph" w:styleId="86">
    <w:name w:val="List Continue 5"/>
    <w:basedOn w:val="1"/>
    <w:qFormat/>
    <w:uiPriority w:val="0"/>
    <w:pPr>
      <w:spacing w:after="120"/>
      <w:ind w:left="1415"/>
    </w:pPr>
  </w:style>
  <w:style w:type="paragraph" w:styleId="87">
    <w:name w:val="List 2"/>
    <w:basedOn w:val="1"/>
    <w:qFormat/>
    <w:uiPriority w:val="0"/>
    <w:pPr>
      <w:ind w:left="566" w:hanging="283"/>
    </w:pPr>
  </w:style>
  <w:style w:type="paragraph" w:styleId="88">
    <w:name w:val="List 3"/>
    <w:basedOn w:val="1"/>
    <w:qFormat/>
    <w:uiPriority w:val="0"/>
    <w:pPr>
      <w:ind w:left="849" w:hanging="283"/>
    </w:pPr>
  </w:style>
  <w:style w:type="paragraph" w:styleId="89">
    <w:name w:val="List 4"/>
    <w:basedOn w:val="1"/>
    <w:qFormat/>
    <w:uiPriority w:val="0"/>
    <w:pPr>
      <w:ind w:left="1132" w:hanging="283"/>
    </w:pPr>
  </w:style>
  <w:style w:type="paragraph" w:styleId="90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91">
    <w:name w:val="Block Text"/>
    <w:basedOn w:val="1"/>
    <w:qFormat/>
    <w:uiPriority w:val="0"/>
    <w:pPr>
      <w:spacing w:after="120"/>
      <w:ind w:left="1440" w:right="1440"/>
    </w:pPr>
  </w:style>
  <w:style w:type="paragraph" w:styleId="9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93">
    <w:name w:val="E-mail Signature"/>
    <w:basedOn w:val="1"/>
    <w:qFormat/>
    <w:uiPriority w:val="0"/>
  </w:style>
  <w:style w:type="table" w:styleId="9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5">
    <w:name w:val="договор"/>
    <w:basedOn w:val="1"/>
    <w:qFormat/>
    <w:uiPriority w:val="0"/>
    <w:pPr>
      <w:tabs>
        <w:tab w:val="right" w:pos="9923"/>
      </w:tabs>
      <w:ind w:firstLine="284"/>
      <w:jc w:val="both"/>
    </w:pPr>
    <w:rPr>
      <w:szCs w:val="20"/>
    </w:rPr>
  </w:style>
  <w:style w:type="paragraph" w:customStyle="1" w:styleId="96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97">
    <w:name w:val="ccard__contacts-index1"/>
    <w:uiPriority w:val="0"/>
    <w:rPr>
      <w:color w:val="999999"/>
    </w:rPr>
  </w:style>
  <w:style w:type="character" w:customStyle="1" w:styleId="98">
    <w:name w:val="apple-converted-space"/>
    <w:basedOn w:val="11"/>
    <w:uiPriority w:val="0"/>
  </w:style>
  <w:style w:type="paragraph" w:styleId="99">
    <w:name w:val="No Spacing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00">
    <w:name w:val="Нижний колонтитул Знак"/>
    <w:basedOn w:val="11"/>
    <w:link w:val="73"/>
    <w:uiPriority w:val="99"/>
    <w:rPr>
      <w:sz w:val="24"/>
      <w:szCs w:val="24"/>
    </w:rPr>
  </w:style>
  <w:style w:type="paragraph" w:styleId="10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3</Pages>
  <Words>1111</Words>
  <Characters>6334</Characters>
  <Lines>52</Lines>
  <Paragraphs>14</Paragraphs>
  <TotalTime>2</TotalTime>
  <ScaleCrop>false</ScaleCrop>
  <LinksUpToDate>false</LinksUpToDate>
  <CharactersWithSpaces>7431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2024-01-24T09:01:00Z</dcterms:created>
  <dc:creator>Alya</dc:creator>
  <cp:lastModifiedBy>Стройимидж</cp:lastModifiedBy>
  <cp:lastPrinted>2019-11-28T06:48:00Z</cp:lastPrinted>
  <dcterms:modified xsi:type="dcterms:W3CDTF">2026-01-22T10:49:06Z</dcterms:modified>
  <dc:title>ИП Ермакова Александра Олеговна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7DB91F2AC43F44C18D4C47CD5BDCDBB0_12</vt:lpwstr>
  </property>
</Properties>
</file>